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27.02.2020, оставленным без изменения постановлением Девятого арбитражного апелляционного суда от 10.07.2020 и постановлением Арбитражного суда Московского округа от 08.12.2020, в удовлетворении первоначальных исковых требований отказано, встречные исковые требования удовлетворены. В кассационной жалобе, поданной в Верховный Суд Российской Федерации, мастерская, ссылаясь на нарушение судами норм материального 2 и процессуального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перечисления обществом (заказчик) в пользу мастерской (подрядчик) авансового платежа в рамках договора от 27.04.2018 № 58/04, прекращения названного договора ввиду одностороннего отказа общества от его исполнения, отсутствие доказательств выполнения мастерской работ по договору либо возврата суммы полученного ею аванса, руководствуясь статьями 309, 310, 395, 450, 702, 711, 753, 1102 Гражданского кодекса Российской Федерации, суды первой и апелляционной инстанций пришли к выводу о наличии оснований для отказа в удовлетворении первоначальных исковых требований и удовлетворения встречных требований, с чем впоследствии согласился суд округа.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в кассационной жалобе не приведено.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«Архитектурная мастерская Мальцева»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