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28.07.2020, оставленным без изменения постановлением Девятого арбитражного апелляционного суда от 23.11.2020 и постановлением Арбитражного суда Московского округа от 01.02.2021,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2015 год. Указанным решением обществу доначислен налог в сумме 235 509 рублей. Основанием для принятия решения послужил вывод налогового органа о неправомерном определении обществом налоговой базы в отношении объектов недвижимого имущества с кадастровыми номерами 77:02:0022014:1158 и 77:02:0022017:3713, исходя из стоимости этого объекта, указанной в Едином государственном реестре недвижимости без учета суммы, равной величине налога на добавленную стоимость (далее - НДС). Отказывая в удовлетворении заявления, судебные инстанции, оценив представленные в материалы дела доказательства, руководствуясь положениями пункта 2 статьи 375, пункта 15 статьи 378.2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3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в том числе о необоснованном начислении пени,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«Ритвэл Капитал»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