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10.06.2020, оставленным без изменения постановлением Восемнадцатого арбитражного апелляционного суда от 13.08.2020, в удовлетворении требования отказано. Постановлением Арбитражного суда Уральского округа от 08.12.2020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административный орган вменяет обществу факт обмана потребителя относительно невозможности отказа от договора. Частью 1 статьи 14.7 Кодекса Российской Федерации об административных правонарушениях предусмотрена ответственность за обмеривание, обвешивание или обсчет потребителей при реализации товара (работы, услуги) либо иной обман потребителей, за исключением случаев, предусмотренных частью 2 настоящей статьи. Оценив представленные доказательства, руководствуясь положениями статьи 32 Закона Российской Федерации от 07.02.1992 № 2300-1 «О защите прав потребителей», Гражданского кодекса Российской Федерации, суды пришли к выводу о доказанности административным органом в действиях общества состава правонарушения, ответственность за которое предусмотрена частью 1 статьи 14.7 Кодекса Российской Федерации об административных правонарушениях, признав, что установленные обстоятельства свидетельствуют о преднамеренном введении потребителя в заблуждение 3 путем ложного заявления относительно оснований расторжения договора, а также умолчания о фактах, которые могли бы повлиять на указанные обстоятельства. Указанные выводы судов в жалобе не опровергнуты. Суды указали, что процедура привлечения к административной ответственности не нарушена, срок давности привлечения к ответственности соблюден, оснований для применения положений статьи 2.9 Кодекса Российской Федерации об административных правонарушениях отсутствуют. Доводы жалобы были предметом рассмотрения судов и получили исчерпывающую правовую оценку в обжалуемых судебных актах, не согласиться с которой оснований не имеется. Ссылка в жалобе на гражданско-правовые последствия расторжения договора и ненадлежащего исполнения сторонами договорных обязательств предметом спора не являются, и не свидетельствуют об отсутствии необходимости дополнительного учета публично-правовых требований исходя из особых требований закона о защите прав потребителей, определяющего механизм реализации прав потребителей и их защиту.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