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 Москвы от 30.05.2019, оставленным без изменения Постановлением Девятого арбитражного апелляционного суда от 30.09.2019, иск удовлетворен. Постановление Арбитражного суда Московского округа от 31.01.2020 указанные судебные акты отменены, дело направлено на новое рассмотрение в Арбитражный суд города Москвы. 2 При новом рассмотрении дела решением Арбитражного суда г. Москвы от 02.06.2020, оставленным без изменения постановлением Девятого арбитражного апелляционного суда от 01.09.2020, в иске отказано. Постановлением Арбитражного суда Московского округа от 15.12.2020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при новом рассмотрении дела судебные акты отменить, считая их незаконными и необоснованными. Исходя из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15, 393 Гражданского кодекса Российской Федерации, правовыми позициями, изложенными в постановлении Пленума Верховного Суда РФ от 23.06.2015 № 25 «О применении судами некоторых положений раздела I части первой Гражданского кодекса Российской Федерации», суды отказали в иске, признав не доказанным истцом причинно-следственной связи между поведением ответчика и фактом причинения убытков в виде упущенной выгоды. Доводы жалобы были предметом исследования судов и получили исчерпывающую правовую оценку с учетом отсутствия надлежащих доказательств принятия истцом мер и приготовлений для исполнения контракта, других доказательств возможности извлечения выгоды, не согласиться с которыми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