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11.12.2019 с Учреждения в пользу Общества взыскано 57 639 190 рублей 57 копеек задолженности за выполненные работы и 200 000 рублей расходов по государственной пошлине, а при недостаточности денежных средств взыскание производится за счет казны с Администрации и/или Министерства. Определением Десятого арбитражного апелляционного суда от 10.02.2020 апелляционная жалоба Министерства на решение Арбитражного суда Московской области от 11.12.2019 возвращена в связи с отказом в восстановлении пропущенного процессуального срока на ее подачу. Постановлением Арбитражного суда Московского округа от 03.07.2020 решение Арбитражного суда Московской области от 11.12.2019 отменено, в удовлетворении иска отказано. Определением судьи Верховного Суда Российской Федерации от 26.10.2020 № 305-ЭС20-15344 в передаче дела в Судебную коллегию по экономическим спорам Верховного Суда Российской Федерации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оспариваемым судебным актом,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процессуального права. Одновременно заявляет ходатайство о восстановлении процессуального срока на ее подачу. В силу части 8 статьи 291.6 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ходатайства о восстановлении процессуального срока и жалобы. Как следует из материалов дела, 28.12.2017 между Обществом и Учреждением был заключен муниципальный контракт № 45 (далее – Контракт) на выполнение работ по строительству пристройки к Муниципальному бюджетному общеобразовательному учреждению «Средняя 3 общеобразовательная школа № 8 с углубленным изучением отдельных предметов». В соответствии с пунктом 2.1 Контракта цена составила 255 478 584 рублей 20 копеек, являлась твердой и определялась на весь срок исполнения Контракта за исключением случаев, предусмотренных Контрактом и действующим законодательством Российской Федерации. В ходе исполнения Контракта Обществом была установлена необходимость в проведении дополнительных работ, которая была подтверждена Учреждением и согласно заключению № 50-1-1-2-0722-19 выданному 18.07.2019 Государственным автономным учреждением Московской области «Московская областная государственная экспертиза» стоимость дополнительных работ составила 57 639 190 рублей 57 копеек. Согласованные Учреждением дополнительные работы были выполнены Обществом в полном объеме в рамках предусмотренного Контрактом 5 этапа, что подтверждается актами о приемке выполненных работ и справками о стоимости выполненных работ и затрат, подписанные сторонами. Учреждение оплату стоимости выполненных и принятых дополнительных работ в установленные сроки не произвело, в связи с чем Общество обратилось в арбитражный суд с настоящим иском. Удовлетворяя исковые требования, суд первой инстанции исходил из того, что Учреждение свои денежные обязательства не исполнило, согласованные, выполненные и принятые без нареканий работы не оплатило, доказательств погашения задолженности не представило, размер не оспорило, следовательно, требование Общества о взыскании задолженности является обоснованным и подлежит удовлетворению. Также суд первой инстанции указал, что выполнение дополнительных объемов работ Обществом без заключения соответствующего соглашения к Контракту не являлось нарушением, которое влечет за собой отказ в их оплате, поскольку Общество действовало как разумный и добросовестный участник гражданского оборота; Общество действовало адекватно сложившейся ситуации и при соблюдении интересов Учреждения. Отменяя решение суда первой инстанции и отказывая в удовлетворении исковых требований, суд округа, сослался на то, что выполнение дополнительных работ без заключенного в установленном порядке государственного контракта не порождает у Общества право требовать их оплаты, поскольку в рассматриваемом случае цена контракта является твердой и не может изменяться в ходе его исполнения. Обжалуя постановление суда кассационной инстанции в Верховный Суд Российской Федерации, заявитель ссылается на существенное нарушение судом норм процессуального права, повлиявшее на исход дела. По мнению заявителя, у суда кассационной инстанции в настоящем случае не имелось оснований для отмены решения суда первой инстанции, так как ни доводы, ни просительная часть кассационной жалобы не содержали требования об отмене решения суда первой инстанции в полном объеме и отказе в исковых 4 требованиях в полном объеме. Кассационная жалоба содержала требование исключить Министерство из числа ответчиков по делу. Таким образом, у окружного суда не имелось предусмотренных статьей 288 АПК РФ оснований для отмены законного судебного акта суда первой инстанции. В то же время статьей 286 АПК РФ предусмотрены пределы рассмотрения дела в арбитражном суде кассационной инстанции, согласно которым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частью 4 статьи 288 настоящего Кодекса, основанием для отмены решения арбитражного суда первой инстанции, постановления арбитражного суда апелляционной инстанции.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 В соответствии с пунктом 2 статьи 287 АПК РФ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какие решение, постановление должны быть приняты при новом рассмотрении дела. Согласно правовой позиции Конституционного Суда Российской Федерации, отраженной в том числе в Определении от 17.02.2015 № 274-О, статьи 286 – 288 АПК РФ, находясь в системной связи с другими положениями данного Кодекса, регламентирующими производство в суде кассационной инстанции, предоставляют суду кассационной инстанции при проверке судебных актов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Иное позволяло бы суду кассационной инстанции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5 равноправия сторон и непосредственности судебного разбирательства, что недопустимо.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Приведенные заявителем доводы заслуживают внимания и требуют проверки в судебном заседании,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 С учетом вышеизложенного и руководствуясь положениями статьи 184, части 8 статьи 291.6, части 1 статьи 291.11 АПК РФ,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26.10.2020 № 305-ЭС20-15344 отменить. 2. Кассационную жалобу общества с ограниченной ответственностью Строительная компания «Новый Век» вместе с делом № А41-95103/2019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И.Л. Подносова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