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31.03.2021 (согласно информации о почтовом отправлении с официального сайта ФГУП «Почта России» и отметке органа почтовой связи на почтовом конверте) обратилось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2 Последним принятым по делу судебным актом является постановление Арбитражного суда Центрального округа от 26.01.2021, срок на обжалование которого истек 26.03.2021. Обратившись с кассационной жалобой 31.03.2021,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В обоснование пропуска срока заявитель ссылается на получение копии постановления суда кассационной инстанции 01.02.2021.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С полным текстом последнего обжалуемого судебного акта - постановления суда округа от 26.01.2021 заявитель мог ознакомиться 27.01.2021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Лица, участвующие в деле, несут риск наступления последствий совершения или несовершения ими процессуальных действий (статья 9 Арбитражного процессуального кодекса Российской Федерации).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3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установленный законом срок, суд не находит оснований для удовлетворения ходатайства о восстановлении срока.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Комбинат питания «Солнечный» в удовлетворении ходатайства о восстановлении пропущенного процессуального срока. Кассационную жалобу на решение Арбитражного суда Воронежской области от 13.03.2020, постановление Девятнадцатого арбитражного апелляционного суда от 07.10.2020 и постановление Арбитражного суда Центрального округа от 26.01.2021 по делу № А14-18723/2019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