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12.07.2020, оставленным без изменения постановлением Семнадцатого арбитражного апелляционного суда от 08.10.2020, иск удовлетворен. Арбитражный суд Уральского округа постановлением от 16.12.2020 решение от 12.07.2020 и постановление Семнадцатого арбитражного апелляционного суда от 08.10.2020 оставил без изменения. В кассационной жалобе банк просит об отмене судебных актов, ссылаясь на списание спорной суммы в соответствии с действующим договором.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дела, установили действие истца в пределах правомочий, предусмотренных статьей 859 Гражданского кодекса Российской Федерации. Действие банка по переводу остатка денежных средств при закрытии банковского счета правомерно оценено как не требующее затрат и являющееся его обязанностью в силу закона, а удержанная за их осуществление комиссия – признана обладающей признаками статьи 1102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банк реконструкции и развития»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