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Ингушетия от 13.03.2020, оставленным без изменения постановлением Шестнадцатого арбитражного апелляционного суда от 17.09.2020 и постановлением Арбитражного суда Северо-Кавказского округа от 10.12.2020, в иске отказано. В кассационной жалобе, поданной в Верховный Суд Российской Федерации, предприятие, ссылаясь на существенное нарушение норм права, просит отменить судебные акты и направить дело на новое рассмотрение. 2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министерство (заказчик) и предприятие (исполнитель) 10.10.2018 заключили государственный контракт № 0114200000118001454_0110, по условиям которого заказчик поручает и обеспечивает оплату данных работ на условиях и в порядке, установленном в контракте, а исполнитель принимает на себя обязательства по проведению кадастровых работ, изготовлению технических планов и постановке на кадастровый учет объектов недвижимого имущества в соответствии с техническим заданием. Согласно техническому заданию кадастровые работы проводятся для регистрации права собственности на государственное недвижимое имущество Республики Ингушетия. На основании акта приема-передачи от 12.11.2018 заказчиком приняты выполненные предприятием работы, стоимость которых составила - 5 955 500 рублей. Предприятие 19.07.2019 обратилось к министерству с претензией об оплате выполненных работ, неисполнение которой явилось основанием для обращения предприятия в суд. Исследовав и оценив представленные в материалы дела доказательства, суды, руководствуясь положениями Гражданского кодекса Российской Федерации,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пришли к выводу об отсутствии оснований для удовлетворения искового требования. Судебные инстанции исходили из недоказанности предприятием исполнения обязательств по контракту. В ходе исследования обстоятельств дела суд установил, что объекты газоснабжения фактически поставлены на кадастровый учет в 2013 году и на 3 указанные объекты зарегистрировано право собственности, тогда как целью контракта являлась постановка на кадастровый учет 106 объектов недвижимого имущества. Доводы, изложенные в кассационной жалобе, в том числе о результатах проведенной следственной проверки, повторяют позицию предприятия по спору, являлись предметом рассмотрения судов и получили надлежащую правовую оценку с учетом установленных обстоятельств. По существу доводы жалобы не подтверждают существенных нарушений норм материального и процессуального права, повлиявших на исход дела, выражают несогласие с выводами судов по фактическим обстоятельствам дела и направлены на их переоценку, что не может служить основанием для отмены судебных актов в кассационном порядке. Учитывая изложенное,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муниципальному унитарному предприятию «Назрановское районное бюро технической инвентаризации»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