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17.07.2020, оставленным без изменения постановлением Пятнадцатого арбитражного апелляционного суда от 12.09.2020 и постановлением Арбитражного суда Северо-Кавказского округа от 16.12.2020, в удовлетворении иска отказано. В кассационной жалобе общество «МайнФуд» просит о пересмотре судебных актов, ссылаясь на отсутствие между сторонами встречных обязательств для прекращения зачетом, недостоверность акта сверки в качестве доказательства отсутствия у ответчика долга и необходимость исчисления срока исковой давности с момента утверждения временного управляющего.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получив удовлетворение за счет общества «МайнФуд» как поручителя банк выбыл из правоотношений и у сторон остались встречные обязательства, прекращение которых согласовано договорами поставки и реализовано обществом «Тандер» в соответствии с условиями обязательства. Отсутствие у ответчика задолженности подтверждено двусторонним актом сверки, оцененным в качестве доказательства судами. Отсутствие основания для исчисления срока исковой давности в предлагаемом заявителем порядке мотивировано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«МайнФуд»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