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07.07.2020 заявление предпринимателя о взыскании судебных расходов удовлетворено частично. Постановлением Девятого арбитражного апелляционного суда от 03.11.2020, оставленным без изменения постановлением Арбитражного суда Московского округа от 27.01.2021, определение от 07.07.2020 изменено в части отказа во взыскании расходов по уплате госпошлины за подачу апелляционной жалобы и в указанной части заявление удовлетворено; в удовлетворении заявления в остальной части отказано. В кассационной жалобе предприниматель просит о пересмотре судебных актов апелляционного и окружного судов в отношении судебных расходов за участие при рассмотрении заявления в суде апелляционной инстанции.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Обжалуемые судебные акты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101, 106, 110 Арбитражного процессуального кодекса Российской, обстоятельствам дела и действующей судебной практике возмещения судебных издержек.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Юркину Роману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