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Пензенской области от 03.07.2020, оставленным без изменения постановлением Одиннадцатого арбитражного апелляционного суда от 09.09.2020, иск удовлетворен. Арбитражный суд Поволжского округа постановлением от 11.12.2020 решение от 03.07.2020 и постановление Одиннадцатого арбитражного апелляционного суда от 09.09.2020 оставил без изменения. В кассационной жалобе акционерное общество «Биосинтез» просит о пересмотре судебных актов, ссылаясь на наличие неоспоренных согласованных действий кредитора и поручителя по созданию для него неблагоприятных последствий.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что договоры поручительства истец обязан исполнить на основании судебных актов, принятых по делам, инициированным компанией. Договор поручительства оспаривался акционерным обществом «Биосинтез» при рассмотрении предъявленного ему поручителем иска о взыскании задолженности и не признан порочным. В силу статьи 65 Арбитражного процессуального кодекса Российской Федерации приводимые в качестве возражений доводы должны быть доказанными. Недоказанные акционерным обществом «Биосинтез» возражения не требует опровержения противной стороной.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«Биосинтез»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"Люксунпроект" (подробнее) Ответчики: ПАО "Биосинтез"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