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 общества поступило заявление о возвращении находящейся в производстве Суда кассационной жалобы. Учитывая правомочие общества на распоряжение процессуальными правами, его заявление рассмотрено в качестве отказа от жалобы с применением соответствующего ему последствия в виде прекращения производства по жалобе и удовлетворяется. Руководствуясь статьей 184, пунктом 4 части 1 статьи 150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общества с ограниченной ответственностью «Уралдорстрой» на решение Арбитражного суда Свердловской области от 03.06.2020 по делу № А60-16138/2020, постановление Семнадцатого арбитражного апелляционного суда от 02.10.2020 и постановление Арбитражного суда Уральского округа от 08.02.2021 по тому же делу прекратить.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