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27.12.2019, оставленным без изменения постановлением Девятого арбитражного апелляционного суда от 24.08.2020, взыскано 539 000 рублей задолженности, 34 126 рублей 82 копейки процентов за пользование чужими денежными средствами и 40 000 рублей расходов на услуги представителя. Арбитражный суд Московского округа постановлением от 09.12.2020 решение от 27.12.2019 и постановление Девятого арбитражного апелляционного суда от 24.08.2020 оставил без изменения. В кассационной жалобе компания просит об отмене судебных актов, ссылаясь на неосновательное возвращение встречного иска, ненадлежащее оказание услуг.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определение от 17.12.2019 о возвращении встречного иска не обжаловано компанией. Суды установили частичную оплату компанией оказанных услуг и отсутствие в согласованный договором от 25.05.2016 № 05П/2016 срок возражений в отношении заявленных в иске услуг, поэтому правомерно признали последние принятыми и в силу статей 779, 781 Гражданского кодекса Российской Федерации подлежащими оплате.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«Научно-производственная компания «Агат-Аквариус»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