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обществу с ограниченной ответственностью «Лазер-Граффити» срок подачи кассационной жалобы на решение Арбитражного суда города Москвы от 18.03.2020 по делу № А40-164193/2019, постановление Девятого арбитражного апелляционного суда от 07.08.2020 и постановление Арбитражного суда Московского округа от 27.11.2020 по тому же делу. Судья Верховного Суда Российской Федерации Н.А. Ксенофонтова Суд: Верховный Суд РФ (подробнее) Истцы: ООО "ЛАЗЕР-ГРАФФИТИ" (подробнее) Ответчики: АО "МТУ САТУРН"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