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12.03.2020, оставленным без изменения постановлением Девятого арбитражного апелляционного суда от 15.09.2020 и постановлением Арбитражного суда Московского округа от 21.12.2020, иск удовлетворен. В кассационной жалобе общество «Здоровье» просит об отмене судебных актов вследствие неосновательного неуменьшения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Установление обстоятельств, влияющих на размер неустойки (статья 333 Гражданского кодекса Российской Федерации) в пределах данного дела, является компетенцией судов, рассматривающих дело по правилам для суда первой инстанции, и связанные с этими обстоятельствами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«Здоровье»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