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22.01.2020, оставленным без изменения постановлением Тринадцатого арбитражного апелляционного суда от 31.07.2020, в удовлетворении иска отказано в связи с пропуском срока исковой давности, о применении которой заявил ответчик. Арбитражный суд Северо-Западного округа постановлением от 10.12.2020 решение от 22.01.2020 и постановление Тринадцатого арбитражного апелляционного суда от 31.07.2020 оставил без изменения. В кассационной жалобе общество просит об отмене судебных актов, ссылаясь на неисследование обстоятельств, произошедших после перечисления денежных средств и влияющих на определение момента осведомленности о нарушении права.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общество перечисляло требуемую сумму будучи осведомленным об отсутствии с ответчиком правоотношений, поэтому последующие действия сторон не изменяют ее статуса в качестве неосновательного обогащения, срок исковой давности на востребование которого исчислен от оформления платежных поручений от 20.11.2012 № 54, 21.11.2012 № 55 и от 21.11.2012 № 56 и признан истекшим к моменту предъявления 08.07.2019 иска в соответствии со статьей 196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«Бригантина»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