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15.06.2020, оставленным без изменения постановлением Второго арбитражного апелляционного суда от 30.09.2020, иск удовлетворен. Арбитражный суд Волго-Вятского округа постановлением от 28.12.2020 решение от 15.06.2020 и постановление Второго арбитражного апелляционного суда от 30.09.2020 без оставил изменения. В кассационной жалобе фонд просит об отмене судебных актов, ссылаясь на неправомерность требования об оплате оказанных сверх установленных объемов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Предъявленные к оплате медицинские услуги включены в программу обязательного медицинского страхования и отнесены к предмету договора на оказание и оплату медицинской помощи по обязательному медицинскому страхованию от 29.12.2018 № 55. Законодательно гарантированное оказание бесплатной медицинской помощи в системе обязательного медицинского страхования относит попадающие под нее услуги к страховым случаям, расходы в связи с которыми подлежат оплате за счет средств ОМС.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Ярославской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