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10.06.2020, оставленным без изменения постановлением Одиннадцатого арбитражного апелляционного суда от 02.09.2020, взыскано 2 952 228 рублей страхового возмещения и 66 546 рублей 45 копеек процентов за пользование чужими денежными средствами. Арбитражный суд Поволжского округа постановлением от 21.12.2020 решение от 10.06.2020 и постановление Одиннадцатого арбитражного апелляционного суда от 02.09.2020 оставил без изменения. В кассационной жалобе общество «Зетта Страхование» просит об отмене судебных актов, ссылаясь на принятие в подтверждение наступления страхового случая ненадлежащих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с которыми связаны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«Зетта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"Комфорт" (подробнее) Ответчики: ООО "Зетта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