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с ограниченной ответственностью «Стройинвест» посредством заполнения формы, размещенной на официальном сайте суда в сети «Интернет», подана кассационная жалоба на судебные акты по указанному делу и ходатайство о зачете государственной пошлины в размере 3 000 рублей, уплаченной по платежному поручению от 14.01.2020 № 9 за рассмотрение иска в Арбитражном суде города Москвы, в счет уплаты государственной пошлины за подачу кассационной жалобы в Судебную коллегию Верховного Суда Российской Федерации.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2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 разъяснено, что по смыслу подпункта 2 пункта 1, пунктов 3, 6 статьи 333.40 НК РФ заявление (жалоба) может быть подано в арбитражный суд в течение трех лет с момента уплаты государственной пошлины за его (ее) подачу.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Поскольку указанные требования не соблюдены, к заявлению не приложены оригиналы документов (подлинный платежный документ, справка суда о возврате госпошлины, копия судебного акта о возврате государственной пошлины, заверенная судьей и содержащая гербовую печать арбитражного суда), основания для удовлетворения заявления о зачете государственной пошлины отсутствуют. Таким образом, общество в нарушение пункта 2 части 5 статьи 291.3 Арбитражного процессуального кодекса Российской Федерации подало кассационную жалобу, не приложив документы, подтверждающие уплату государственной пошлины в установленных порядке и размере, что в соответствии с пунктом 1 части 1 статьи 291.5 Арбитражного процессуального 3 кодекса Российской Федерации является основанием для возвращения кассационной жалобы без рассмотрения по существу. Руководствуясь статьями 117, 184, 291.2,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«Стройинвест» о зачете государственной пошлины за подачу кассационной жалобы на решение Арбитражного суда города Москвы от 19.10.2020 по делу № А40-27744/2020, постановление Девятого арбитражного апелляционного суда от 24.12.2020 и постановление Арбитражного суда Московского округа от 22.03.2021 по тому же делу. Жалобу общества с ограниченной ответственностью «Стройинвест»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