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Верховным Судом Российской Федерации 19.03.2021 вынесено определение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При изготовлении текста названного судебного акта во втором абзаце третьей страницы мотивировочной части была допущена опечатка в указании суммы включенных в реестр требований, которая подлежит исправлению. При указанных обстоятельствах, руководствуясь статьей 179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в определении об отказе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допущенную во втором абзаце третьей страницы мотивировочной части опечатку. Читать абзац следующим образом: «Суды обоснованно приняли во внимание, что требования ответчика к КБ «Интеркоммерц» на сумму 73 812 180 руб.00 коп. включены в реестр требований кредиторов Банка.». Судья Верховного Суда Российской Федерации Н.С. Чучунова Суд: Верховный Суд РФ (подробнее) Истцы: ООО "НПК ИЗОТЕРМИК" (подробнее) Ответчики: САМОРЕГУЛИРУЕМАЯ ОРГАНИЗАЦИЯ АССОЦИАЦИЯ СПЕЦИАЛИЗИРОВАННЫХ ОРГАНИЗАЦИЙ НЕФТЕХИМИЧЕСКОЙ И НЕФТЕГАЗОВОЙ ПРОМЫШЛЕННОСТИ "НЕФТЕГАЗСЕРВИС"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