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04.06.2020, оставленным без изменения постановлением Девятого арбитражного апелляционного суда от 02.09.2020 и постановлением Арбитражного суда Московского округа от 15.12.2020, исковое заявление удовлетворено. В кассационной жалобе, поданной в Верховный Суд Российской Федерации, учреждение, ссылаясь на существенное нарушение норм права, просит отменить судебные акты и отказать в удовлетворении иска.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учреждением (заказчик) и обществом (подрядчиком) 09.08.2019 заключен контракт №2019/311 на поставку и монтаж ангара (склада хранения) с кранбалкой для нужд учреждения. Неисполнение обязанности по оплате поставленного товара и выполненных работ, послужило основанием для обращения общества в арбитражный суд. Исследовав и оценив представленные в материалы дела доказательства, суды первой и апелляционной инстанций, руководствуясь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пришли к выводу о наличии оснований для удовлетворения искового требования, с чем согласился суд округа. Судебные инстанции исходили из доказанности ответчиком факта поставки и установки объекта, а также эксплуатации его ответчиком. Как указали суды, ответчик своими фактическими действиями принял результат работ, доказательств ненадлежащего исполнения истцом обязательств ответчиком не представлено. Доводы общества относительно доказательственной базы подлежат отклонению, поскольку вопрос относимости, допустимости, достоверности и полноты доказательств разрешается судами первой и апелляционной инстанций в каждом конкретном случае, исходя из обстоятельств дела, и входит в круг вопросов, рассмотрение которых не относится к компетенции суда, рассматривающего дело в порядке кассационного производства. 3 Нарушений судом апелляционной инстанции процессуальных норм, являющихся существенным основанием для отмены судебного акта, не установлено. Приведенные доводы являлись предметом рассмотрения судов,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бюджетному учреждению города Москвы «Автомобильные дороги Юго-Западного административного округа»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