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«Гринтал» (далее – Общество) Кабалин Владимир Михайлович обратился в Арбитражный суд Красноярского края с иском, уточненным в порядке статьи 49 Арбитражного процессуального кодекса Российской Федерации (далее – АПК РФ), к Звереву Юрию Лукичу о взыскании 10 828 694 рублей убытков.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(далее – ООО) «Аполлон», ООО Строительный центр «Авангард», ООО «Экспортлес», временный управляющий ООО «Гринтал» Верхотуров В.В. Решением Арбитражного суда Красноярского края от 14.11.2019 требования удовлетворены. Постановлением Третьего арбитражного апелляционного суда от 04.08.2020, оставленным без изменения постановлением Арбитражного суда Восточно- Сибирского округа от 03.12.2020, решение от 14.11.2019 изменено: с Зверева Ю.Л. в пользу Общества взыскано 10 625 374 рубля убытков; в удовлетворении остальной части иска отказано, распределены судебные расходы. 2 В кассационной жалобе, поданной в Верховный Суд Российской Федерации, заявитель просит отменить состоявшиеся судебные акты, ссылаясь на существенные нарушения судами норм процессуального права.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Общество указало, что ответчик скрыл от участников юридического лица информацию о совершаемых им сделках, причинивших убытки Обществу.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Согласно статье 53.1 Гражданского кодекса лицо, которое в силу закона, иного правого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3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и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пришли к обоснованным выводам о наличии необходимой совокупности условий для привлечения Зверева Ю.Л. к гражданско-правовой ответственности в виде возмещения убытков Судам установлено, что один и тот же вид работ оплачен истцом по указанию ответчика четыре раза: дважды ООО «ПКБ Квадрат» и дважды ООО «ИнтерсотСтрой». Работы, выполненные ООО «ПКБ Квадрат», не поручались застройщиком. Оформление документации в ООО «Гринтал» не соответствовало требованиям законодательства, регламентирующего составление бухгалтерской отчетности, отражающей реальные хозяйственные операции. Учитывая документы, подтверждающие задвоение работ, выполненных субподрядчиками, и произведенную оплату за данные работы, суд апелляционной инстанции изменил решение суда первой инстанции, признал обоснованными требования в размере 10 625 374 руб. Доводы кассационной жалобы не свидетельствуют о нарушениях норм материального и процессуального права, которые послужили бы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Зверева Юрия Лукича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