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25.05.2020, оставленным без изменения постановлением Девятого арбитражного апелляционного суда от 26.08.2020 и постановлением Арбитражного суда Московского округа от 04.12.2020,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 в ином составе судей.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выполнения компанией (подрядчик) работ по договору и направления актов о приемке выполненных работ обществу (заказчик), отсутствие доказательств мотивированного отказа последнего от подписания этих актов, предъявления им претензий относительно объема и качества работ, а также оплаты результата работ в полном объеме, руководствуясь статьями 309, 310, 395, 702, 720, 753 Гражданского кодекса Российской Федерации, разъяснениями, изложенными в пункте 14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«ПРОФЕССИОНАЛ-1»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