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20.12.2019, оставленным без изменения постановлением Тринадцатого арбитражного апелляционного суда от 26.06.2020 и постановлением Арбитражного суда Северо-Западного округа от 22.12.2020, с общества в пользу компании взыскано 47 802 974 руб. 31 коп. задолженности и 753 295 руб. 20 коп. процентов,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2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исполнения компанией (поставщик) обязательств по договору и отсутствие доказательств оплаты поставленного оборудования в полном объеме, руководствуясь статьями 309, 310, 395, 506, 513, 516 Гражданского кодекса Российской Федерации, суды первой и апелляционной инстанций пришли к выводу о наличии оснований для взыскания с общества задолженности в заявленном размере и процентов за пользование чужими денежными средствами с учетом корректировки периода их начисления.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энергетики и электрификации «Ленэнерго»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