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Костромской области от 18.06.2020, оставленным без изменения постановлением Второго арбитражного апелляционного суда от 14.09.2020 и постановлением Арбитражного суда Волго-Вятского округа от 11.12.2020, в удовлетворении первоначального иска отказано, встречный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Костромской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Как следует из судебных актов, предъявленные взаимные требования общества (принципал) и компании (агент) основаны на договоре от 06.03.2019 № 06/03 на оказание агентских услуг.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ненадлежащего исполнения обществом обязательств по возмещению компании понесенных ею расходов и признав правомерными действия последней по удержанию части оборудования, руководствуясь статьями 359, 421, 431, 996, 1105, 1011 Гражданского кодекса Российской Федерации, суды первой и апелляционной инстанций пришли к выводу об отсутствии оснований для удовлетворения первоначального иска и обоснованности встречных требований, с чем впоследствии согласился суд округа. Выводы судов подробно мотивированы в обжалуемых судебных актах. Ссылка общества на нарушение судами норм процессуального права в связи с непривлечением к участию в деле в качестве третьих лиц поставщика товара и таможни подлежит отклонению, поскольку заявителем не указано, какие права и законные интересы указанных лиц нарушены в связи с принятием обжалуемых судебных актов.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«Монолит»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