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25.02.2020, оставленным без изменения постановлением Семнадцатого арбитражного апелляционного суда от 03.07.2020, исковые требования удовлетворены. Арбитражный суд Уральского округа постановлением от 07.12.2019 отменил решение суда первой инстанции, постановление суда апелляционной инстанции и оставил исковое заявление общества без рассмотрения. 2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Отменяя судебные акты первой и апелляционной инстанций и оставляя исковое заявление общества без рассмотрения, суд округа руководствовался пунктом 4 статьи 148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того, что требования общества не являются текущими и подлежат рассмотрению в деле о банкротстве ответчика. Доводы заявителя о подписании кассационной жалобы, поданной в суд округа, неуполномоченным лицом были предметом рассмотрения названного суда и отклонены с учетом позиции конкурсного управляющего ответчика. Доводы кассационной жалобы не подтверждают существенных нарушений судом округа норм материального права и (или) процессуального права, повлиявших на исход дела, и не являются основанием для отмены обжалуемого судебного акта.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«ВПТ-Нефтемаш»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