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«Мэлон Фэшн Груп» (далее - Общество) обратилось в Арбитражный суд города Санкт-Петербурга и Ленинградской области с иском о взыскании с общества с ограниченной ответственностью «Группа компаний «Корус Консалтинг» (далее - Компания) 40 527 204 рублей 50 копеек неотработанного аванса по договору возмездного оказания услуг от 15.07.2017 № 005130-07/17ACON6, 185 610 евро неустойки за нарушение сроков исполнения обязательства в рублях по курсу Банка России на дату уплаты. Судом принят встречный иск Компании о взыскании с Общества 6 677 031 рубля 57 копеек задолженности, 125 591, 10 евро неустойки в рублевом эквиваленте по установленному официальному курсу Банка России на день исполнения обязательства по уплате. 2 Решением Арбитражного суда города Санкт-Петербурга и Ленинградской области от 16.03.2020 первоначальный иск удовлетворен, в удовлетворении встречного иска отказано. Постановлением Тринадцатого арбитражного апелляционного суда от 18.08.2020 решение суда первой инстанции оставлено без изменения. Арбитражный суд Северо-Западного округа постановлением от 08.12.2020 указанные судебные акты оставил без изменения. Общество с ограниченной ответственностью «Группа компаний «Корус Консалтинг»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оказанный Компанией (исполнителем) на момент расторжения договора объем услуг не имеет потребительской ценности и не может быть использован Обществом (заказчиком) в предусмотренных договором целях, руководствуясь положениями статей 309, 310, 330, 453, 715, 723, 779, 783, 1102 Гражданского кодекса Российской Федерации, суды пришли к выводу об отсутствии у Общества обязанности оплатить выполненные до расторжения договора работы, а у Компании – оснований для удержания авансовых платежей и платы за услуги, не имеющие для Общества потребительской ценности. Доводы, изложенные в жалобе, относительно потребительской ценности оказанных услуг приводились при рассмотрении дела,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3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«Корус Консалтинг»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