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«Пиллеспром» обратилось в Арбитражный суд города Санкт-Петербурга и Ленинградской области с иском о взыскании с OU «Alfafort» 2 651 евро задолженности по контракту от 09.10.2018 № 1. Решением Арбитражного суда города Санкт-Петербурга и Ленинградской области от 17.02.2020 иск удовлетворен. Постановлением Тринадцатого арбитражного апелляционного суда от 18.08.2020 решение суда первой инстанции отменено и в удовлетворении иска отказано. Арбитражный суд Северо-Западного округа постановлением от 08.12.2020 постановление суда апелляционной инстанции отменил и оставил в силе решение суда первой инстанции. OU «Alfafort»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обязательства истца (продавца) по контракту исполнены с момента сдачи товара перевозчику ответчика (покупателя), спорный товар прибыл на склад покупателя и находится в его владении, руководствуясь положениями статей 309, 310, 454, 456, 458, 469, 506, 509, 513, 516 Гражданского кодекса Российской Федерации, суд первой инстанции пришел к выводу об обоснованности заявленного требования. Проверив в порядке статей 286, 287 Арбитражного процессуального кодекса Российской Федерации законность судебных актов,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OU «Alfafort»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