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29.05.2020, оставленным без изменения постановлением Девятого арбитражного апелляционного суда от 14.09.2020, в удовлетворении иска отказано. Арбитражный суд Московского округа постановлением от 07.12.2020 решение от 29.05.2020 и постановление Девятого арбитражного апелляционного суда от 14.09.2020 оставил без изменения. В кассационной жалобе компания просит об отмене судебных актов, ссылаясь на игнорирование недобросовестности и злоупотребления ответчиков.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увеличение розничной цены предмета лизинга не связано с действиями ответчиков по исполнению договоров, поэтому оснований для констатации их недобросовестности по отношению к истцу не усмотрели. Суды установили, что автомобиль продан третьему лицу, что исключает реализацию покупателем права, предусмотренного статьей 398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«Новосибирская Молочная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"Новосибирская молочная компания" (подробнее) Ответчики: АО "Лизинговая компания "Европлан" (подробнее) ООО "Рольф"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