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29.05.2020, оставленным без изменения постановлением Восьмого арбитражного апелляционного суда от 07.09.2020, взыскано 478 288 рублей 24 копейки штрафа, 1 440 139 рублей 97 копеек неосновательного обогащения. Постановлением Арбитражного суда Западно-Сибирского округа от 28.12.2020 решение и постановление апелляционного суда отменены в части отказа во взыскании штрафа, в указанной части дело направлено на новое рассмотрение; в остальной части судебные акты оставлены без изменения. В кассационной жалобе общество «Бизнеском» просит отменить постановление суда кассационной инстанции, ссылаясь на нарушения в применении норм об исковой давности.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оводами жалобы не усматривается. Установив, что суды первой и апелляционной инстанций не исследовали вид обязательства из числа предусмотренных смешанным договором, штраф в связи с неисполнением которого взыскивается, оказывающий влияние на применимый срок исковой давности, окружной суд отменил судебные акты в соответствии со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«Бизнеском»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Нижневартовское нефтегазодобывающее предприятие (подробнее) Ответчики: ООО БИЗНЕСКОМ (подробнее) Иные лица: Арбитражный суд Западно-Сибирского округа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