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27.07.2020, оставленным без изменения постановлением Девятого арбитражного апелляционного суда от 24.09.2020 и постановлением Арбитражного суда Московского округа от 08.12.2020, исковые требования удовлетворены. В кассационной жалобе общество «СТРОЙ-ОЛИМП» просит о пересмотре судебных актов, ссылаясь на недоказанность поставки на спорную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330, 486, 506, 516 Гражданского кодекса Российской Федерации, суды удовлетворили иск по установленным фактам поставки истцом (поставщиком) товара в рамках договора поставки от 15.08.2019 № 15-08/19Б и неполной оплаты его ответчиком (покупателем).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«СТРОЙ-ОЛИМП»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