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12.07.2018, оставленным без изменения постановлением Восемнадцатого арбитражного апелляционного суда от 10.09.2020 и постановлением Арбитражного суда Уральского округа от 25.11.2020, иск удовлетворен. В кассационной жалобе общество «Гранд-Строй» просит об отмене судебных актов, ссылаясь на игнорирование различных оснований возникновения спорной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согласно представленным доказательствам истец передал товар, имущество и оказал услуги на заявленную сумму, поэтому независимо от вида договора (купля-продажа, аренда, услуги), во исполнение которых произведено предоставление, у ответчика в силу статей 506 , 614 , 779 Гражданского кодекса Российской Федерации возникла обязанность по оплате.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«Гранд-Строй»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"Бектыш" (подробнее) Ответчики: ООО Гранд-Строй " (подробнее) Судьи дела: Ксенофонтова Н.А. (судья)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