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25.06.2020, оставленным без изменения постановлением Девятнадцатого арбитражного апелляционного суда от 01.09.2020 и постановлением Арбитражного суда Центрального округа от 21.12.2020, в удовлетворении иска отказано. В кассационной жалобе Скляренко С.К. просит об отмене судебных актов, ссылаясь на игнорирование неисполнения ответчиком обязанности о предоставлении информации о товаре.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21.06.2019 № 210618/01, суды установили, что заявленные истцом (покупателем) недостатки не относятся к товару, поэтому отказали в применении последствий, предусмотренных статьей 495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Скляренко Сергею Константиновичу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