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10.06.2020, оставленным без изменения постановлением Девятого арбитражного апелляционного суда от 09.09.2020, в удовлетворении иска отказано. Арбитражный суд Московского округа постановлением от 03.12.2020 решение от 10.06.2020 и постановление Девятого арбитражного апелляционного суда от 09.09.2020 оставил без изменения. В кассационной жалобе общество «АлдисРус» просит об отмене судебных актов, ссылаясь на нарушение ответчиком согласованной процедуры расторжения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содержание договора лизинга (пункты 7.7, 9.2 приложения № 4), установили наличие на стороне лизингодателя права выбора последствия нарушения лизингополучателем условий использования имущества. Довод заявителя о нарушении согласованной процедуры расторжения договора противоречит содержанию обязательств.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«АлдисРус»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"АЛДИСРУС" (подробнее) Ответчики: ООО "РЕСО-Лизинг"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