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Котюжанский А.Г. 26.03.2021 направил в Верховный Суд Российской Федерации указанную кассационную жалобу (поименованную заявителем надзорной), заявив ходатайство о восстановлении пропущенного срока её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срока уважительными. 2 Указанные положения процессуального закона предполагают оценку судом при решении вопроса о восстановлении пропущенного срока, обоснованности доводов лица, настаивавшего на таком восстановлении,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Соответствующая правовая позиция изложена в постановлении Конституционного Суда Российской Федерации от 17.03.2010 № 6-П. Рассмотрев ходатайство о восстановлении процессуального срока, судья находит его подлежащим удовлетворению, поскольку Котюжанский А.Г. обосновал уважительность причины просрочки подачи кассационной жалобы в Верховный Суд Российской Федерации и представил необходимые документы. Руководствуясь статьями 117, 184 и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Котюжанского Айдара Гарриевича о восстановлении пропущенного срока подачи кассационной жалобы на определение Арбитражного суда города Москвы от 31.08.2020, постановление Девятого арбитражного апелляционного суда от 12.11.2020 по делу № А40-246595/2016 удовлетворить. Пропущенный процессуальный срок восстановить. Судья Верховного Суда Российской Федерации И.В. Разумов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