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Новгородской области от 02.07.2020, оставленным без изменения постановлением Четырнадцатого арбитражного апелляционного суда от 14.09.2020 и постановлением Арбитражного суда Северо-Западного округа от 09.12.2020,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ставит вопрос об отмене судебных актов.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управлением в отношении общества проведена внеплановая документарная проверка с целью установления соблюдения обязательных требований при перевозке грузов и установлено, что общество осуществляло перевозку груза на транспортном средстве без оформления путевых листов. По результатам проверки составлен акт от 25.11.2019 № 710 и вынесено предписание от 25.11.2019 № 710-1 об устранении выявленных нарушений. Не согласившись с ненормативным правовым актом управления, общество обратилось в арбитражный суд. Отказывая в удовлетворении заявленного требования, судебные инстанции, оценив представленные в материалы дела доказательства, руководствуясь положениями Федерального закона от 10.12.1995 № 196 - ФЗ «О безопасности дорожного движения», Федерального закона от 08.11.2007 № 259-ФЗ «Устав автомобильного транспорта и городского наземного электрического транспорта» (далее - Закон № 259-ФЗ), приказом Министерства транспорта Российской Федерации от 18.09.2008 № 152 «Об утверждении обязательных реквизитов и порядка заполнения путевых листов», Правилами обеспечения безопасности перевозок пассажиров и грузов автомобильным транспортом и городским наземным электрическим транспортом, утвержденными приказом Министерства транспорта Российской Федерации от 15.01.2014 № 7, пришли к выводу о том, что оспариваемое предписание соответствует действующему законодательству и не нарушает права и законные интересы заявителя. 3 Суды исходили из установленного частью 2 статьи 6 Закона № 259-ФЗ запрета на осуществление перевозок пассажиров и багажа, грузов автобусами, трамваями, троллейбусами, легковыми автомобилями, грузовыми автомобилями без оформления путевого листа на соответствующее транспортное средство. Осуществляя эксплуатацию транспортных средств с целью перевозки грузов, общество в нарушение указанных норм не обеспечило ведение путевых листов, в связи с чем признали оспариваемое предписание законным и обоснованным.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материального и норм процессуального права, повлиявших на исход дела. По существу доводы жалобы повторяют позицию общества по спору, не опровергают выводы судов,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«Груз Авто Плюс»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