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14.09.2020 и постановлением Арбитражного суда Московского округа от 02.12.2020, с общества в пользу предприятия взыскано 3 220 000 руб. ущерба,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с которыми согласился суд округа, руководствуясь статьями 15, 393, 404, 421, 431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принимая во внимание условия заключенного сторонами договора аренды, заключения экспертов, исходили из доказанности совокупности условий, при которых наступает ответственность в виде возмещения убытков, и обоюдной вины сторон.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«Металлоизделия и конструкции строительству»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