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04.06.2020, оставленным без изменения постановлением Третьего арбитражного апелляционного суда от 15.09.2020, иск удовлетворен. Постановлением Арбитражного суда Восточно-Сибирского округа от 29.12.2020 указанные судебные акты оставлены без изменения. Администрация обратилась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309 , 310 , 450 , 782 Гражданского кодекса Российской Федерации, статьи 95 Федерального Закона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суды иск удовлетворили, признав незаконными действия заказчика по одностороннему отказу от исполнения контракта в отсутствие доказательств существенного нарушения контракта исполнителем. Доводы жалобы были предметом исследования судов и получили исчерпывающую правовую оценку с учетом установленных судами обстоятельств взаимодействия сторон при исполнении контракта,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Балобанов Василий Викторович (представитель Самойленко А.В.) (подробнее) Ответчики: Администрация города Ачинска (подробнее) Иные лица: Арбитражный суд Красноярского края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