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Иркутской области от 12.10.2020, оставленным без изменения постановлением Четвертого арбитражного 2 апелляционного суда от 16.11.2020 и постановлением Арбитражного суда Восточно-Сибирского округа от 25.12.2020, ходатайство учреждения о приостановлении производства по делу удовлетворено; производство по делу приостановлено до вступления в законную силу судебного акта по делу № А19-25833/2019.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и возобновить производство по делу.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В соответствии с пунктом 1 части 1 статьи 143 Арбитражного процессуального кодекса Российской Федерации арбитражный суд обязан приостановить производство по делу в случае невозможности рассмотрения данного дела до разрешения другого дела, рассматриваемого арбитражным судом. Изучив материалы дела, суд первой инстанции установил, что результат судебного разбирательства по делу № А19-25833/2019 может существенно повлиять на судебный акт по настоящему делу, в связи с чем пришел к выводу о необходимости приостановления производства по делу на основании пункта 1 части 1 статьи 143 Арбитражного процессуального кодекса Российской Федерации. Суды апелляционной инстанции и округа поддержали выводы суда первой инстанции, отметив, что в рамках дела А19-25833/2019 подлежит проверке решение заказчика об одностороннем отказе от исполнения указанного контракта, послужившее, в том числе основанием для обращения 3 учреждения в антимонопольный орган с заявлением о включении общества в реестр недобросовестных поставщиков. Доводы, изложенные в кассационной жалобе, сводятся к повторению позиции общества о неправомерном приостановлении производства по делу, в том числе в связи с отсутствием взаимосвязи между делами, наличием разных предметов и оснований заявленных требований. Приведенные доводы направлены на иную оценку фактических обстоятельств и основаны на ошибочном толковании заявителем положений процессуального законодательства, не подтверждают существенного нарушения судами норм права, повлиявших на исход дела, и в силу статьи 291.6 АПК РФ не являются основанием для передачи жалобы на рассмотрение в судебном заседании Судебной коллегии Верховного Суда Российской Федерации.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«Строительно-транспортно-правовая организация «ЛЕОН»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