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09.06.2020, оставленным без изменения постановлением Четвертого арбитражного апелляционного суда от 18.08.2020, в иске отказано. 2 Постановлением Арбитражного суда Восточно-Сибирского округа от 03.12.2020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450, 702, 715 Гражданского кодекса Российской Федерации, статьи 95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в иске отказали, признав законными действия заказчика по одностороннему отказу от исполнения контракта при наличии доказанного существенного нарушения контракта подрядчиком. Доводы жалобы были предметом исследования судов и получили исчерпывающую правовую оценку с учетом установленных обстоятельств вины подрядчика в неисполнении обязательства с учетом условий контракта,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