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Пензенской области от 11.03.2020 заявленные требования удовлетворены. Постановлением Одиннадцатого арбитражного апелляционного суда от 23.09.2020 решение суда первой инстанции отменено, в удовлетворении заявления отказано. Арбитражный суд Поволжского округа постановлением от 16.12.2020 постановление суда апелляционной инстанции оставил без изменения.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ФИО1 на действия организатора торгов (управление муниципального имущества), выразившиеся в провидении открытого аукциона на право заключения договора аренды земельного участка в нарушение норм действующего законодательства, антимонопольным органом принято решение. Решением антимонопольного органа жалоба ФИО1 признана частично обоснованной, управление муниципального имущества нарушившим пункт 8, пункт 21 статьи 39.11 Земельного кодекса Российской Федерации (далее – Земельный кодекс). Организатору торгов выдано предписание о прекращении нарушений требований пункта 8, пункта 21 статьи 39.11 Земельного кодекса путем аннулирования спорного аукциона. Указанные обстоятельства послужили основанием для обращения управления муниципального имущества в арбитражный суд.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130 , 222 Гражданского кодекса Российской Федерации, статей 1 , 55.32 Градостроительного кодекса Российской Федерации, статьи 39.11 Земельного кодекса , суд апелляционной инстанции пришел к выводу о том, что оспариваемые ненормативные правовые акты антимонопольного органа соответствуют действующему законодательству и не нарушают законные права и интересы заявителя, с чем согласился суд округа. Судебные инстанции исходили из ненадлежащего исполнения обязанностей организатором торгов по проверке соответствия выставляемого на торги земельного участка требованиям земельного законодательства. При этом установив, что на земельном участке находятся объекты капитального строительства, суды отметили, что отсутствие информации о правообладателях построенных объектов и решения о сносе самовольной постройки не может служить основанием для признания факта отсутствия на земельном участке объектов капитального строительства. Доводы кассационной жалобы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являлись предметом рассмотрения судов, получили надлежащую правовую оценку с учетом установленных обстоятельств дела и мотивированно отклонены.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«Тенор»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Управление муниципального имущества администрации города Пензы (подробнее) Управление муниципального имущества города Пензы (подробнее) Ответчики: Управление Федеральной антимонопольной службы по Пензенской области (подробнее) УФАС по Пензенской области (подробнее) Иные лица: Администрация г. Пензы (подробнее) Арбитражный суд Пензенской области (подробнее) ООО "ТЕНОР"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