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17.06.2020, оставленным без изменения постановлениями Шестого арбитражного апелляционного суда от 26.08.2020 и Арбитражного суда Дальневосточного округа от 07.12.2020, в удовлетворении иска отказано. 2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администрацией и обществом заключено соглашение от 05.11.2019 № 5 о предоставлении из районного бюджета субсидии на компенсацию расходов, связанных с ростом цен на мазут и уголь. В обоснование заявленных требований общество указало, что администрацией обязанность по перечислению субсидии на компенсацию расходов, связанных с ростом цен на мазут и уголь, не исполнена, денежные средства, удерживаемые администрацией, являются неосновательным обогащением. Исследовав и оценив представленные в материалы дела доказательства по правилам главы 7 Арбитражного процессуального кодекса Российской Федерации, суды, руководствуясь положениями статьи 1102 Гражданского кодекса Российской Федерации, постановлением Правительства Хабаровского края от 27.05.2019 № 206-пр «Об утверждении порядка предоставления субсидии из краевого бюджета бюджетам муниципальных образований Хабаровского края на софинасирование расходных обязательств муниципальных образований края по компенсации расходов организациям жилищно-коммунального хозяйства, связанных с ростом цен на мазут и уголь», Порядком предоставления организациям, осуществляющим реализацию тепловой энергии субсидии по компенсации расходов, связанных с ростом цен на мазут и уголь, утвержденным постановлением администрации Советско-Гаванского муниципального района от 21.06.2019 № 394 (далее – Порядок № 394), пришли к выводу об отсутствии оснований для удовлетворения иска. Судебные инстанции исходили из того, что администрацией за счет субсидии оплачена задолженность общества за поставленное ему топливо. При этом суды указали, что перечисление администрацией денежных средств поставщику в счет погашения задолженности общества перед ним не 3 противоречит Порядку № 394 и сложившимся между сторонами договорным отношениям в рамках централизованных поставок топлива. Приведенные в жалобе доводы сводятся к иной оценке представленных доказательств и несогласию с толкованием судами норм законодательства, подлежащих применению к рассматриваемым правоотношениям, применительно к установленным обстоятельствам дела,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«Советско-Гаванские теплосети»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