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25.02.2020, оставленным без изменения постановлением Девятого арбитражного апелляционного суда от 16.09.2020, иск удовлетворен. Постановлением Арбитражного суда Московского округа от 02.12.2020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368 , 376 , 378 , 421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что основания для отказа в выплате банковской гарантии у гаранта отсутствовали, требование платежа по гарантии соответствовало условиям гарантии и нормам законодательства. Доводы жалобы были предметом исследования судов и получили исчерпывающую правовую оценку исходя из установленных судами обстоятельств и представленных доказательств, не согласиться с которой, исходя из доводов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"СТРОЙТРАСТ" (подробнее) ПАО "Банк "ФК Открытие" (подробнее) ФЕДЕРАЛЬНОЕ БЮДЖЕТНОЕ УЧРЕЖДЕНИЕ ЗДРАВООХРАНЕНИЯ "ЛЕЧЕБНО-РЕАБИЛИТАЦИОННЫЙ ЦЕНТР МИНИСТЕРСТВА ЭКОНОМИЧЕСКОГО РАЗВИТИЯ РОССИЙСКОЙ ФЕДЕРАЦИИ" (подробнее) Ответчики: ПАО Банк "Финансовая Корпорация Открытие"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