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Тверской области решением от 11.03.2020, оставленным без изменения постановлением Четырнадцатого арбитражного апелляционного 2 суда от 26.08.2020 и постановлением Арбитражного суда Северо-Западного округа от 09.12.2020, признал договор купли-продажи от 19.12.2017 транспортного средства - ЛУИДОРА 2237Z9 VIN Z7C2237Z9F0002012; договор купли-продажи от 19.12.2017 транспортного средства - ЛУИДОРА 2237Z9 VIN Z7C2237Z9F0002023; договор купли-продажи от 27.03.2018 транспортного средства - Mercedes-Benz 223203 VIN Z7C223203E0002904; договор купли- продажи от 23.04.2018 транспортного средства - Mercedes-Benz 223203 VIN Z7C223203K0002913; договор купли-продажи от 23.04.2018 транспортного средства - Mercedes-Benz 223203 VIN Z7C223203H0002890; договор купли-продажи от 23.04.2018 транспортного средства - Mercedes-Benz 223203 VIN Z7C223203E0002910; договор купли-продажи от 23.04.2018 транспортного средства - Mercedes-Benz 223203 VIN Z7C223203E0002915; договор купли-продажи от 23.04.2018 транспортного средства - Mercedes-Benz 223203 VIN Z7C223203E0002828; договор купли-продажи от 27.04.2018 транспортного средства - Mercedes-Benz 223203 VIN Z7C223203E0002864; договор купли-продажи от 27.04.2018 транспортного средства - Mercedes-Benz 223203 VIN Z7C223203E0002914; договор купли-продажи от 27.04.2018 транспортного средства - Mercedes-Benz 223203 VIN Z7C223203E0002912; договор купли-продажи от 27.04.2018 транспортного средства - Mercedes-Benz 223203 VIN Z7C223203E0002833 незаключенными; взыскал с Воробьева В.А. в пользу Иванова Д.В. 17 830 000 руб. стоимости транспортных средств, 72 000 руб. расходов по уплате государственной пошлины; в удовлетворении остальной части требований отказал.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руководствуясь статьями 153, 154, 158, 432, 1102, 1103 Гражданского кодекса Российской Федерации,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спорные договоры купли-продажи, представленные в регистрирующий орган в качестве доказательства перехода права собственности от Иванова Д.В. к Воробьеву В.А., со стороны истца 3 не подписаны, пришли к выводу о том, что данные договоры являются незаключенными. Исходя из этого, учитывая, что спорное имущество находилось в ведении ответчика и передано им третьим лицам по сделкам купли-продажи; стоимость имущества на момент его передачи ответчику возможно определить только по договорам, по которым оно приобретено истцом, при этом доказательств иной цены и иного состояния имущества Воробьевым В.А. не представлено, суды признали правомерными требования истца о взыскании с ответчика денежных средств в заявленной сумме. С выводами судов первой и апелляционной инстанций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Воробьева Владимира Анатольевича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