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04.03.2020, оставленным без изменения постановлением Девятого арбитражного апелляционного суда от 24.09.2020 и постановлением Арбитражного суда Московского округа от 04.12.2020, иск удовлетворен частично. В кассационной жалобе компания просит о пересмотре судебных актов, ссылаясь на игнорирование просрочки истца, применение к неустойке как дополнительному к основному обязательству последствий истечения по последнему срока исковой давности, норм применимой к отношениям сторон конвенции.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Оснований для исчисления срока исковой давности в отношении длящихся договорных неустоек от дня наступления срока поставки, а не от каждого просроченного дня поставки и возврата предварительной оплаты не имелось. Просрочка оплаты обществом товара в качестве обстоятельства, влияющего на исполнение компанией обязательства по поставке не установлена. Возражения о рассмотрении спора арбитражным судом с применением к правоотношениям сторон российского права в процессе рассмотрения дела компания не заявляла, поэтому не вправе выдвигать его в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с ограниченной ответственностью «ТАМ Интернэшнл Норт Си Лимитед»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"Интегра-Сервисы" (подробнее) Ответчики: компания с ограниченной ответственностью там интернэшнл норт си лимитед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