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10.03.2020, оставленным без изменения постановлением Девятого арбитражного апелляционного суда от 03.07.2020 и постановлением Арбитражного суда Московского округа от 30.11.2020, в удовлетворении иска отказано в связи с истечением срока исковой давности, о применении которой заявил ответчик. В кассационной жалобе общество просит об отмене судебных актов, ссылаясь на игнорирование довода о приостановлении ответчиком процесса оказания услуг, течения срока исковой давности с момента истечения срока ответа на претензию.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оплата услуг является обязанностью с определенным сроком исполнения, поэтому правило абзаца 2 пункта 2 статьи 200 Гражданского кодекса Российской Федерации об исчислении срока исковой давности к ней не применимо. Приостановление процесса оказания услуг не влияет на исчисление срока исковой давности в отношении находящихся в споре оказанных услуг.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«МИГО-ГРУПП»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