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апреля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Республики Крым от 08.06.2020, оставленным без изменения постановлением Двадцать первого арбитражного апелляционного суда от 06.08.2020 и постановлением Арбитражного суда Центрального округа от 27.11.2020, взыскано неосновательное обогащение. В кассационной жалобе общество «Доминанта-Крым» просит об отмене судебных актов в части отказа во взыскании убытков, ссылаясь на неприменение пункта 1 статьи 1105 Гражданского кодекса Российской Федерации.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2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В деле № А83-2176/2015 истцу отказано в иске о передаче имущества, поэтому убытки, вызванные изменением стоимости имущества, предусмотренные пунктом 1 статьи 1105 Гражданского кодекса Российской Федерации, взысканию не подлежат.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«Доминанта-Крым»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