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25.02.2020, оставленным без изменения постановлением Девятого арбитражного апелляционного суда от 14.08.2020 и постановлением Арбитражного суда Московского округа от 01.12.2020, иск удовлетворен. В кассационной жалобе общество «ПТК Вакумпак-М» просит о пересмотре судебных актов, ссылаясь на нарушение в оценке доказательств.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2 Исследовав обстоятельства исполнения договора поставки от 11.04.2017 № 16KH/04-2017 по представленным доказательствам с применением статей 330, 486, 516 Гражданского кодекса Российской Федерации, суды установили наличие условий для взыскания с ответчика договорной неустойки в связи с несвоевременной оплатой поставленного товара. Требуемый в жалобе пересмотр оценки доказательств поставки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«ПТК Вакумпак-М»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