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Рязанской области от 19.03.2020, оставленным без изменения постановлением Двадцатого арбитражного апелляционного суда от 09.06.2020 и постановлением Арбитражного суда Центрального округа от 27.11.2020, иск удовлетворен. В кассационной жалобе администрация просит отменить судебные акты, ссылаясь на отсутствие доказательств оказания ей услуги, самостоятельную ответственность работника за пользование услугой.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Услуга использована в рамках договора от 09.01.2018 № 862000019129, стороной в котором является администрация, поэтому она обязан к ее оплате в силу договора и статей 779, 781 Гражданского кодекса Российской Федерации. Несанкционированного доступа стороннего лица к оборудованию суды не установили. Правоотношения администрации с самовольно использовавшим оборудование работником выходят за пределы возникшего из договора спора.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администрации муниципального образования – Милославский муниципальный район Рязанской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