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03.03.2020, принятым в порядке упрощенного производства, в удовлетворении иска отказано. Девятый арбитражный апелляционный суд постановлением от 03.09.2020 рассмотрел дело в качестве суда первой инстанции, отменил решение от 03.03.2020 и отказал в удовлетворении иска. Арбитражный суд Московского округа постановлением от 03.12.2020 постановление Девятого арбитражного апелляционного суда от 03.09.2020 оставил без изменения. В кассационной жалобе общество «АЗ РЕАЛ» просит об отмене судебных актов апелляционного и окружного судов, ссылаясь на неисполнение страховщиком обязательства по договору.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исполнение ответчиком обязанности по организации ремонта поврежденного транспортного средства, от которого истец отказался, поэтому отказали в иске о взыскании страхового возмещения в денежной форме как противоречащего условиям договора страхования от 13.04.2017 серии АА № 104166777 и статьям 929, 942 Гражданского кодекса Российской Федерации. Риск последствий страхования находящегося на гарантии транспортного средства на согласованных условиях восстановления после повреждения на станции технического обслуживания по направлению страховщика несет страхователь.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«АЗ РЕАЛ»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